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667" w:firstLine="0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ALLEGATO  2</w:t>
      </w:r>
    </w:p>
    <w:p w:rsidR="00000000" w:rsidDel="00000000" w:rsidP="00000000" w:rsidRDefault="00000000" w:rsidRPr="00000000" w14:paraId="00000002">
      <w:pPr>
        <w:ind w:left="1667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667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667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DICHIARAZIONE EX ART.28, COMMA 2, D.P.R.N.600/1973</w:t>
      </w:r>
    </w:p>
    <w:p w:rsidR="00000000" w:rsidDel="00000000" w:rsidP="00000000" w:rsidRDefault="00000000" w:rsidRPr="00000000" w14:paraId="00000005">
      <w:pPr>
        <w:ind w:left="1667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74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74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 Comune di Ivrea</w:t>
      </w:r>
    </w:p>
    <w:p w:rsidR="00000000" w:rsidDel="00000000" w:rsidP="00000000" w:rsidRDefault="00000000" w:rsidRPr="00000000" w14:paraId="00000008">
      <w:pPr>
        <w:ind w:left="0" w:right="0" w:firstLine="0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Piazza Vittorio Emanuele n.1</w:t>
      </w:r>
    </w:p>
    <w:p w:rsidR="00000000" w:rsidDel="00000000" w:rsidP="00000000" w:rsidRDefault="00000000" w:rsidRPr="00000000" w14:paraId="00000009">
      <w:pPr>
        <w:ind w:left="0" w:right="0" w:firstLine="0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10015 IVREA (TO)</w:t>
      </w:r>
    </w:p>
    <w:p w:rsidR="00000000" w:rsidDel="00000000" w:rsidP="00000000" w:rsidRDefault="00000000" w:rsidRPr="00000000" w14:paraId="0000000A">
      <w:pPr>
        <w:ind w:left="1667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0"/>
          <w:tab w:val="left" w:leader="none" w:pos="8539"/>
        </w:tabs>
        <w:spacing w:after="0" w:before="0" w:line="360" w:lineRule="auto"/>
        <w:ind w:left="112" w:right="20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legale rappresentante di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in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"/>
          <w:tab w:val="left" w:leader="none" w:pos="3254"/>
          <w:tab w:val="left" w:leader="none" w:pos="3769"/>
          <w:tab w:val="left" w:leader="none" w:pos="5366"/>
          <w:tab w:val="left" w:leader="none" w:pos="5655"/>
          <w:tab w:val="left" w:leader="none" w:pos="6014"/>
          <w:tab w:val="left" w:leader="none" w:pos="6081"/>
          <w:tab w:val="left" w:leader="none" w:pos="9756"/>
          <w:tab w:val="left" w:leader="none" w:pos="9789"/>
        </w:tabs>
        <w:spacing w:after="0" w:before="0" w:line="360" w:lineRule="auto"/>
        <w:ind w:left="112" w:right="13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n°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Partiva I.V.A.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 fini dell’applicazione della ritenuta del 4% a titolo di acconto di cui all’art.28 D.P.R.n.600/1973 sulla concessione di contributo di €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59"/>
        </w:tabs>
        <w:spacing w:after="0" w:before="2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112" w:right="17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 fatto che in caso di mendace dichiarazione verranno applicate nei suoi riguardi, ai sensi dell’art.76 del D.P.R. 28.12.2000, n. 445, le sanzioni previste dal codice penale e dalle leggi speciali in materia di falsità negli atti, oltre alle conseguenze amministrative di cui all’art.75 del medesimo D.P.R.,</w:t>
      </w:r>
    </w:p>
    <w:p w:rsidR="00000000" w:rsidDel="00000000" w:rsidP="00000000" w:rsidRDefault="00000000" w:rsidRPr="00000000" w14:paraId="00000010">
      <w:pPr>
        <w:pStyle w:val="Heading1"/>
        <w:spacing w:before="5" w:line="274" w:lineRule="auto"/>
        <w:ind w:right="1725" w:firstLine="16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0" w:line="240" w:lineRule="auto"/>
        <w:ind w:left="112" w:right="17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contributo è assoggettabile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ritenuta d’acconto del 4% di cui all’art.28 del D.P.R. 600/1973 in quanto: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40" w:lineRule="auto"/>
        <w:ind w:left="324" w:right="0" w:hanging="213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beneficiario è Ditta Individuale/Società/Ente Commerciale (barrare l’ipotesi che non interessa);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40" w:lineRule="auto"/>
        <w:ind w:left="112" w:right="17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beneficiario è Ente non commerciale, ma il contributo suddetto è erogato per lo svolgimento di attività collaterali a quelle istituzionali aventi carattere di commercialità;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186054</wp:posOffset>
                </wp:positionH>
                <wp:positionV relativeFrom="paragraph">
                  <wp:posOffset>164465</wp:posOffset>
                </wp:positionV>
                <wp:extent cx="60966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45384" y="3779365"/>
                          <a:ext cx="6096635" cy="1270"/>
                        </a:xfrm>
                        <a:custGeom>
                          <a:rect b="b" l="l" r="r" t="t"/>
                          <a:pathLst>
                            <a:path extrusionOk="0" h="1270" w="6096635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186054</wp:posOffset>
                </wp:positionH>
                <wp:positionV relativeFrom="paragraph">
                  <wp:posOffset>164465</wp:posOffset>
                </wp:positionV>
                <wp:extent cx="609663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246.99999999999994" w:lineRule="auto"/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(indicare eventuali altre motivazioni e/o i riferimenti normativi che dispongono l’applicazione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della</w:t>
      </w:r>
    </w:p>
    <w:p w:rsidR="00000000" w:rsidDel="00000000" w:rsidP="00000000" w:rsidRDefault="00000000" w:rsidRPr="00000000" w14:paraId="00000017">
      <w:pPr>
        <w:ind w:left="1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ritenuta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"/>
        </w:tabs>
        <w:spacing w:after="0" w:before="0" w:line="240" w:lineRule="auto"/>
        <w:ind w:left="112" w:right="1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contributo non è assoggettabile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ritenuta d’acconto del 4% di cui all’art.28 del D.P.R. 600/1973 in quanto: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0" w:line="240" w:lineRule="auto"/>
        <w:ind w:left="317" w:right="0" w:hanging="206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destinato a finanziare l’acquisto di beni strumentali;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"/>
        </w:tabs>
        <w:spacing w:after="0" w:before="0" w:line="240" w:lineRule="auto"/>
        <w:ind w:left="112" w:right="17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beneficiario è Organizzazione non lucrativa di utilità sociale - O.N.L.U.S. (art.16 del D.Lgs.n.460/1997);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112" w:right="17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beneficiario è Ente non commerciale ed il contributo suddetto è destinato a finanziare l’espletamento delle attività istituzionali e il raggiungimento dei fini primari dell’Ente;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0" w:line="240" w:lineRule="auto"/>
        <w:ind w:left="112" w:right="17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beneficiario è Ente non commerciale, che può svolgere occasionalmente o marginalmente attività commerciali, ma il contributo suddetto non è in relazione ad alcun esercizio d’impresa e non produce reddito di natura commerciale;</w:t>
      </w:r>
    </w:p>
    <w:p w:rsidR="00000000" w:rsidDel="00000000" w:rsidP="00000000" w:rsidRDefault="00000000" w:rsidRPr="00000000" w14:paraId="0000001D">
      <w:pPr>
        <w:tabs>
          <w:tab w:val="left" w:leader="none" w:pos="9808"/>
        </w:tabs>
        <w:ind w:left="112" w:right="115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(indicare eventuali altre motivazioni e/o i riferimenti normativi che dispongono l’applicazione della ritenuta)</w:t>
      </w:r>
    </w:p>
    <w:p w:rsidR="00000000" w:rsidDel="00000000" w:rsidP="00000000" w:rsidRDefault="00000000" w:rsidRPr="00000000" w14:paraId="0000001E">
      <w:pPr>
        <w:pStyle w:val="Heading1"/>
        <w:spacing w:before="74" w:line="274" w:lineRule="auto"/>
        <w:ind w:right="1726" w:firstLine="16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IMPEGNA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75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comunicare tempestivamente al Comune di Ivrea qualsiasi modifica e/o cambiamento del proprio regime fiscale o della natura delle attività poste in essere che dovesse verificarsi successivamente alla presentazione della presente dichiarazione;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before="1" w:line="274" w:lineRule="auto"/>
        <w:ind w:right="1725" w:firstLine="16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7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di Ivrea in relazione agli obblighi di sostituto d’imposta, ai sensi dell’art.64, comma 1, del D.P.R. 600/1973, saranno interamente posti a carico del beneficiario del contributo senza possibilità di compensazione degli stessi con eventuali provvidenze da saldare.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07"/>
        </w:tabs>
        <w:spacing w:after="0" w:before="90" w:line="240" w:lineRule="auto"/>
        <w:ind w:left="5777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02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112" w:hanging="243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100" w:hanging="243"/>
      </w:pPr>
      <w:rPr/>
    </w:lvl>
    <w:lvl w:ilvl="2">
      <w:start w:val="0"/>
      <w:numFmt w:val="bullet"/>
      <w:lvlText w:val="•"/>
      <w:lvlJc w:val="left"/>
      <w:pPr>
        <w:ind w:left="2081" w:hanging="243.00000000000023"/>
      </w:pPr>
      <w:rPr/>
    </w:lvl>
    <w:lvl w:ilvl="3">
      <w:start w:val="0"/>
      <w:numFmt w:val="bullet"/>
      <w:lvlText w:val="•"/>
      <w:lvlJc w:val="left"/>
      <w:pPr>
        <w:ind w:left="3061" w:hanging="243"/>
      </w:pPr>
      <w:rPr/>
    </w:lvl>
    <w:lvl w:ilvl="4">
      <w:start w:val="0"/>
      <w:numFmt w:val="bullet"/>
      <w:lvlText w:val="•"/>
      <w:lvlJc w:val="left"/>
      <w:pPr>
        <w:ind w:left="4042" w:hanging="243"/>
      </w:pPr>
      <w:rPr/>
    </w:lvl>
    <w:lvl w:ilvl="5">
      <w:start w:val="0"/>
      <w:numFmt w:val="bullet"/>
      <w:lvlText w:val="•"/>
      <w:lvlJc w:val="left"/>
      <w:pPr>
        <w:ind w:left="5023" w:hanging="243"/>
      </w:pPr>
      <w:rPr/>
    </w:lvl>
    <w:lvl w:ilvl="6">
      <w:start w:val="0"/>
      <w:numFmt w:val="bullet"/>
      <w:lvlText w:val="•"/>
      <w:lvlJc w:val="left"/>
      <w:pPr>
        <w:ind w:left="6003" w:hanging="243"/>
      </w:pPr>
      <w:rPr/>
    </w:lvl>
    <w:lvl w:ilvl="7">
      <w:start w:val="0"/>
      <w:numFmt w:val="bullet"/>
      <w:lvlText w:val="•"/>
      <w:lvlJc w:val="left"/>
      <w:pPr>
        <w:ind w:left="6984" w:hanging="243"/>
      </w:pPr>
      <w:rPr/>
    </w:lvl>
    <w:lvl w:ilvl="8">
      <w:start w:val="0"/>
      <w:numFmt w:val="bullet"/>
      <w:lvlText w:val="•"/>
      <w:lvlJc w:val="left"/>
      <w:pPr>
        <w:ind w:left="7965" w:hanging="24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667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7FsV7dh7Cec2H0rFU6md6FPGMQ==">CgMxLjA4AHIhMTllakJyNHV0R2hEQ1JYMVlxU0VQdXZKSWs3cU5OeFpY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